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SIMULADOR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ARCHIVO REMUNERACIONES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Seguro de vida Ley 13003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Seguro de Vida Obligatorio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40/0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DASPU (3,0%)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DASPU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64/0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ADIUC - Afiliación (1,5%)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ADIUC - Afiliación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Aporte Fondo Adic. Universitario (-2,0%)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Aporte Fondo Adic. Universitario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Jubilación Régimen Especial (-11,0%)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Jubilación Régimen Especial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21/0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Caja Complementaria de Jub. UNC (-4,5%)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Caja Complementaria de Jub.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22/0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Ley 19032 Obra Soc. Jubilados (-3,0%)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Ley 19032 Obra Soc. Jubilados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01/0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Sueldo Básico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Sueldo Básico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03/0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Adicional por Antigüedad (0 años - 20,0%)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 Adicional por Antigüedad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11/8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Adic. 8% RHCS 153/03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Adic. 8% RHCS 153/03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Se trata de un código específico que siempre arranca con “30/” y luego de la barra se agrega un número nuevo que identifica a un aumento en particular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30/? Adic. Remunerativo Bonificable (26,45%)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302 y 306 Adic. Remunerativo Bonificable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